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43"/>
        <w:gridCol w:w="3671"/>
      </w:tblGrid>
      <w:tr w14:paraId="109B8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6" w:hRule="atLeast"/>
          <w:jc w:val="center"/>
        </w:trPr>
        <w:tc>
          <w:tcPr>
            <w:tcW w:w="7343" w:type="dxa"/>
            <w:tcBorders>
              <w:top w:val="single" w:color="1F4E79" w:sz="10" w:space="0"/>
              <w:left w:val="single" w:color="1F4E79" w:sz="10" w:space="0"/>
              <w:bottom w:val="single" w:color="1F4E79" w:sz="10" w:space="0"/>
              <w:right w:val="single" w:color="1F4E79" w:sz="10" w:space="0"/>
            </w:tcBorders>
            <w:shd w:val="clear" w:color="auto" w:fill="1F4E79"/>
            <w:vAlign w:val="center"/>
          </w:tcPr>
          <w:p w14:paraId="0528931C">
            <w:pPr>
              <w:spacing w:before="40" w:after="40"/>
            </w:pPr>
            <w:r>
              <w:rPr>
                <w:b/>
                <w:color w:val="FFFFFF"/>
                <w:sz w:val="36"/>
              </w:rPr>
              <w:t>ADVOCATE MOHAMED IQBAL EBRAHIM ISMAIL</w:t>
            </w:r>
          </w:p>
          <w:p w14:paraId="00A04BAE">
            <w:pPr>
              <w:spacing w:before="40" w:after="40"/>
            </w:pPr>
            <w:r>
              <w:rPr>
                <w:b/>
                <w:color w:val="D9EAF7"/>
              </w:rPr>
              <w:t>BA (Law), LLB, MSc Building (Housing)</w:t>
            </w:r>
          </w:p>
          <w:p w14:paraId="2083EFA9">
            <w:pPr>
              <w:spacing w:before="40" w:after="40"/>
            </w:pPr>
            <w:r>
              <w:rPr>
                <w:b/>
                <w:color w:val="FFFFFF"/>
              </w:rPr>
              <w:t>Advocate of the High Court of South Africa</w:t>
            </w:r>
          </w:p>
        </w:tc>
        <w:tc>
          <w:tcPr>
            <w:tcW w:w="3671" w:type="dxa"/>
            <w:tcBorders>
              <w:top w:val="single" w:color="1F4E79" w:sz="10" w:space="0"/>
              <w:left w:val="single" w:color="1F4E79" w:sz="10" w:space="0"/>
              <w:bottom w:val="single" w:color="1F4E79" w:sz="10" w:space="0"/>
              <w:right w:val="single" w:color="1F4E79" w:sz="10" w:space="0"/>
            </w:tcBorders>
            <w:shd w:val="clear" w:color="auto" w:fill="1F4E79"/>
            <w:vAlign w:val="center"/>
          </w:tcPr>
          <w:p w14:paraId="008DE8A3">
            <w:pPr>
              <w:spacing w:after="40"/>
              <w:jc w:val="right"/>
            </w:pPr>
            <w:r>
              <w:rPr>
                <w:color w:val="FFFFFF"/>
                <w:sz w:val="20"/>
              </w:rPr>
              <w:t>Cell: 082 553 3628</w:t>
            </w:r>
          </w:p>
          <w:p w14:paraId="5F2263B5">
            <w:pPr>
              <w:spacing w:after="40"/>
              <w:jc w:val="right"/>
            </w:pPr>
            <w:r>
              <w:rPr>
                <w:color w:val="FFFFFF"/>
                <w:sz w:val="20"/>
              </w:rPr>
              <w:t>Home: 011 852 1881</w:t>
            </w:r>
          </w:p>
          <w:p w14:paraId="4557F893">
            <w:pPr>
              <w:spacing w:after="40"/>
              <w:jc w:val="right"/>
            </w:pPr>
            <w:r>
              <w:rPr>
                <w:color w:val="FFFFFF"/>
                <w:sz w:val="20"/>
              </w:rPr>
              <w:t>Email: advismail80@gmail.com</w:t>
            </w:r>
          </w:p>
          <w:p w14:paraId="5AE7F69E">
            <w:pPr>
              <w:spacing w:after="40"/>
              <w:jc w:val="right"/>
            </w:pPr>
            <w:r>
              <w:rPr>
                <w:color w:val="FFFFFF"/>
                <w:sz w:val="20"/>
              </w:rPr>
              <w:t>Location: Johannesburg, Gauteng</w:t>
            </w:r>
          </w:p>
          <w:p w14:paraId="0FECF5BA">
            <w:pPr>
              <w:spacing w:after="40"/>
              <w:jc w:val="right"/>
            </w:pPr>
            <w:r>
              <w:rPr>
                <w:color w:val="FFFFFF"/>
                <w:sz w:val="20"/>
              </w:rPr>
              <w:t>Languages: English and Afrikaans</w:t>
            </w:r>
          </w:p>
        </w:tc>
      </w:tr>
    </w:tbl>
    <w:p w14:paraId="3A1892B7">
      <w:pPr>
        <w:pBdr>
          <w:bottom w:val="single" w:color="1F4E79" w:sz="8" w:space="3"/>
        </w:pBdr>
        <w:spacing w:after="120" w:line="283" w:lineRule="auto"/>
      </w:pPr>
    </w:p>
    <w:p w14:paraId="5BC14A66">
      <w:pPr>
        <w:keepNext/>
        <w:pBdr>
          <w:bottom w:val="single" w:color="D9E2EC" w:sz="8" w:space="3"/>
        </w:pBdr>
        <w:shd w:val="clear" w:color="auto" w:fill="2F75B5"/>
        <w:spacing w:before="200" w:after="120" w:line="283" w:lineRule="auto"/>
      </w:pPr>
      <w:r>
        <w:rPr>
          <w:b/>
          <w:color w:val="FFFFFF"/>
          <w:sz w:val="27"/>
        </w:rPr>
        <w:t>PROFESSIONAL PROFILE</w:t>
      </w:r>
    </w:p>
    <w:p w14:paraId="215015AE">
      <w:pPr>
        <w:spacing w:after="140" w:line="283" w:lineRule="auto"/>
        <w:jc w:val="both"/>
      </w:pPr>
      <w:r>
        <w:t>Admitted Advocate of the High Court of South Africa with more than 30 years of litigation, alternative dispute resolution, property, housing, construction and public law experience. Substantial Road Accident Fund and personal injury litigation experience spanning approximately 15 years, including acting for both plaintiffs and the Road Accident Fund. Recognised for detailed preparation, persuasive oral advocacy, precise legal drafting and practical resolution of complex disputes involving liability, quantum, evidence, statutory interpretation and administrative decision making.</w:t>
      </w:r>
    </w:p>
    <w:p w14:paraId="185C79E6">
      <w:pPr>
        <w:keepNext/>
        <w:pBdr>
          <w:bottom w:val="single" w:color="D9E2EC" w:sz="8" w:space="3"/>
        </w:pBdr>
        <w:shd w:val="clear" w:color="auto" w:fill="2F75B5"/>
        <w:spacing w:before="200" w:after="120" w:line="283" w:lineRule="auto"/>
      </w:pPr>
      <w:r>
        <w:rPr>
          <w:b/>
          <w:color w:val="FFFFFF"/>
          <w:sz w:val="27"/>
        </w:rPr>
        <w:t>CORE LEGAL EXPERTISE</w:t>
      </w:r>
    </w:p>
    <w:p w14:paraId="2EBD1D2F">
      <w:pPr>
        <w:pStyle w:val="24"/>
        <w:spacing w:after="90" w:line="283" w:lineRule="auto"/>
        <w:ind w:hanging="173"/>
        <w:jc w:val="both"/>
      </w:pPr>
      <w:r>
        <w:rPr>
          <w:sz w:val="22"/>
        </w:rPr>
        <w:t>Road Accident Fund and personal injury litigation, including plaintiff and defence side matters.</w:t>
      </w:r>
    </w:p>
    <w:p w14:paraId="2815697F">
      <w:pPr>
        <w:pStyle w:val="24"/>
        <w:spacing w:after="90" w:line="283" w:lineRule="auto"/>
        <w:ind w:hanging="173"/>
        <w:jc w:val="both"/>
      </w:pPr>
      <w:r>
        <w:rPr>
          <w:sz w:val="22"/>
        </w:rPr>
        <w:t>High Court and Magistrates Court litigation, trials, opposed applications, reviews and appeals.</w:t>
      </w:r>
    </w:p>
    <w:p w14:paraId="587CE34F">
      <w:pPr>
        <w:pStyle w:val="24"/>
        <w:spacing w:after="90" w:line="283" w:lineRule="auto"/>
        <w:ind w:hanging="173"/>
        <w:jc w:val="both"/>
      </w:pPr>
      <w:r>
        <w:rPr>
          <w:sz w:val="22"/>
        </w:rPr>
        <w:t>Legal drafting, pleadings, opinions, heads of argument, affidavits and settlement documentation.</w:t>
      </w:r>
    </w:p>
    <w:p w14:paraId="4A29340D">
      <w:pPr>
        <w:pStyle w:val="24"/>
        <w:spacing w:after="90" w:line="283" w:lineRule="auto"/>
        <w:ind w:hanging="173"/>
        <w:jc w:val="both"/>
      </w:pPr>
      <w:r>
        <w:rPr>
          <w:sz w:val="22"/>
        </w:rPr>
        <w:t>Arbitration, mediation, conciliation and commissions of enquiry.</w:t>
      </w:r>
    </w:p>
    <w:p w14:paraId="29BEB535">
      <w:pPr>
        <w:pStyle w:val="24"/>
        <w:spacing w:after="90" w:line="283" w:lineRule="auto"/>
        <w:ind w:hanging="173"/>
        <w:jc w:val="both"/>
      </w:pPr>
      <w:r>
        <w:rPr>
          <w:sz w:val="22"/>
        </w:rPr>
        <w:t>Property, housing, rental housing, sectional title, community scheme and land development disputes.</w:t>
      </w:r>
    </w:p>
    <w:p w14:paraId="143A8DF8">
      <w:pPr>
        <w:pStyle w:val="24"/>
        <w:spacing w:after="90" w:line="283" w:lineRule="auto"/>
        <w:ind w:hanging="173"/>
        <w:jc w:val="both"/>
      </w:pPr>
      <w:r>
        <w:rPr>
          <w:sz w:val="22"/>
        </w:rPr>
        <w:t>Construction related disputes, valuation objections, statutory tribunals and administrative law matters.</w:t>
      </w:r>
    </w:p>
    <w:p w14:paraId="25652329">
      <w:pPr>
        <w:pStyle w:val="24"/>
        <w:spacing w:after="90" w:line="283" w:lineRule="auto"/>
        <w:ind w:hanging="173"/>
        <w:jc w:val="both"/>
      </w:pPr>
      <w:r>
        <w:rPr>
          <w:sz w:val="22"/>
        </w:rPr>
        <w:t>Labour dispute resolution, CCMA and Labour Court appearances.</w:t>
      </w:r>
    </w:p>
    <w:p w14:paraId="34029AFC">
      <w:pPr>
        <w:keepNext/>
        <w:pBdr>
          <w:bottom w:val="single" w:color="D9E2EC" w:sz="8" w:space="3"/>
        </w:pBdr>
        <w:shd w:val="clear" w:color="auto" w:fill="2F75B5"/>
        <w:spacing w:before="200" w:after="120" w:line="283" w:lineRule="auto"/>
      </w:pPr>
      <w:r>
        <w:rPr>
          <w:b/>
          <w:color w:val="FFFFFF"/>
          <w:sz w:val="27"/>
        </w:rPr>
        <w:t>PROFESSIONAL EXPERIENCE</w:t>
      </w:r>
    </w:p>
    <w:p w14:paraId="63008D23">
      <w:pPr>
        <w:keepNext/>
        <w:pBdr>
          <w:bottom w:val="single" w:color="D9EAF7" w:sz="6" w:space="4"/>
        </w:pBdr>
        <w:spacing w:before="160" w:after="80" w:line="283" w:lineRule="auto"/>
      </w:pPr>
      <w:r>
        <w:rPr>
          <w:b/>
          <w:color w:val="1F4E79"/>
          <w:sz w:val="25"/>
        </w:rPr>
        <w:t>Advocate of the High Court of South Africa | Litigation, Legal Drafting and Court Practice | Current and ongoing</w:t>
      </w:r>
    </w:p>
    <w:p w14:paraId="27335E85">
      <w:pPr>
        <w:pStyle w:val="24"/>
        <w:spacing w:after="90" w:line="283" w:lineRule="auto"/>
        <w:ind w:hanging="173"/>
        <w:jc w:val="both"/>
      </w:pPr>
      <w:r>
        <w:rPr>
          <w:sz w:val="22"/>
        </w:rPr>
        <w:t>Draft pleadings, notices, affidavits, opinions, heads of argument and other litigation documents for Magistrates Court and High Court matters.</w:t>
      </w:r>
    </w:p>
    <w:p w14:paraId="78BDCFE2">
      <w:pPr>
        <w:pStyle w:val="24"/>
        <w:spacing w:after="90" w:line="283" w:lineRule="auto"/>
        <w:ind w:hanging="173"/>
        <w:jc w:val="both"/>
      </w:pPr>
      <w:r>
        <w:rPr>
          <w:sz w:val="22"/>
        </w:rPr>
        <w:t>Appear in the High Court in trials and applications, including complex and opposed matters requiring detailed legal argument and case strategy.</w:t>
      </w:r>
    </w:p>
    <w:p w14:paraId="24DCFA74">
      <w:pPr>
        <w:pStyle w:val="24"/>
        <w:spacing w:after="90" w:line="283" w:lineRule="auto"/>
        <w:ind w:hanging="173"/>
        <w:jc w:val="both"/>
      </w:pPr>
      <w:r>
        <w:rPr>
          <w:sz w:val="22"/>
        </w:rPr>
        <w:t>Conduct civil litigation across property law, contract law, commercial law, delict, administrative law and constitutional law.</w:t>
      </w:r>
    </w:p>
    <w:p w14:paraId="4C80F69A">
      <w:pPr>
        <w:pStyle w:val="24"/>
        <w:spacing w:after="90" w:line="283" w:lineRule="auto"/>
        <w:ind w:hanging="173"/>
        <w:jc w:val="both"/>
      </w:pPr>
      <w:r>
        <w:rPr>
          <w:sz w:val="22"/>
        </w:rPr>
        <w:t>Prepare matters for trial through evidence assessment, issue identification, witness preparation, pre-trial strategy and tailored trial technique.</w:t>
      </w:r>
    </w:p>
    <w:p w14:paraId="0A815035">
      <w:pPr>
        <w:pStyle w:val="24"/>
        <w:spacing w:after="90" w:line="283" w:lineRule="auto"/>
        <w:ind w:hanging="173"/>
        <w:jc w:val="both"/>
      </w:pPr>
      <w:r>
        <w:rPr>
          <w:sz w:val="22"/>
        </w:rPr>
        <w:t>Conduct reviews and appeals, including constitutional and administrative law matters for and against public bodies.</w:t>
      </w:r>
    </w:p>
    <w:p w14:paraId="1DEEC810">
      <w:pPr>
        <w:keepNext/>
        <w:pBdr>
          <w:bottom w:val="single" w:color="D9EAF7" w:sz="6" w:space="4"/>
        </w:pBdr>
        <w:spacing w:before="160" w:after="80" w:line="283" w:lineRule="auto"/>
      </w:pPr>
      <w:r>
        <w:rPr>
          <w:b/>
          <w:color w:val="1F4E79"/>
          <w:sz w:val="25"/>
        </w:rPr>
        <w:t>Road Accident Fund and Personal Injury Litigation | Approximately 15 years</w:t>
      </w:r>
    </w:p>
    <w:p w14:paraId="6C7DDA3D">
      <w:pPr>
        <w:pStyle w:val="24"/>
        <w:spacing w:after="90" w:line="283" w:lineRule="auto"/>
        <w:ind w:hanging="173"/>
        <w:jc w:val="both"/>
      </w:pPr>
      <w:r>
        <w:rPr>
          <w:sz w:val="22"/>
        </w:rPr>
        <w:t>Acted in Road Accident Fund matters for both plaintiffs and the Road Accident Fund, giving balanced insight into claimant and defendant perspective on litigation strategy.</w:t>
      </w:r>
    </w:p>
    <w:p w14:paraId="332A3A7E">
      <w:pPr>
        <w:pStyle w:val="24"/>
        <w:spacing w:after="90" w:line="283" w:lineRule="auto"/>
        <w:ind w:hanging="173"/>
        <w:jc w:val="both"/>
      </w:pPr>
      <w:r>
        <w:rPr>
          <w:sz w:val="22"/>
        </w:rPr>
        <w:t>Handled merits assessment, liability disputes, quantum preparation, expert evidence, settlement negotiations, trial preparation and court appearances.</w:t>
      </w:r>
    </w:p>
    <w:p w14:paraId="7612AFA3">
      <w:pPr>
        <w:pStyle w:val="24"/>
        <w:spacing w:after="90" w:line="283" w:lineRule="auto"/>
        <w:ind w:hanging="173"/>
        <w:jc w:val="both"/>
      </w:pPr>
      <w:r>
        <w:rPr>
          <w:sz w:val="22"/>
        </w:rPr>
        <w:t>Prepared and argued matters involving negligence, causation, apportionment, serious injury issues, loss of earnings, earning capacity, medical expenses, general damages and future care considerations.</w:t>
      </w:r>
    </w:p>
    <w:p w14:paraId="45E90570">
      <w:pPr>
        <w:pStyle w:val="24"/>
        <w:spacing w:after="90" w:line="283" w:lineRule="auto"/>
        <w:ind w:hanging="173"/>
        <w:jc w:val="both"/>
      </w:pPr>
      <w:r>
        <w:rPr>
          <w:sz w:val="22"/>
        </w:rPr>
        <w:t>Engaged with medico legal and actuarial evidence, including medical reports, industrial psychology reports, occupational therapy reports and actuarial calculations.</w:t>
      </w:r>
    </w:p>
    <w:p w14:paraId="17827208">
      <w:pPr>
        <w:pStyle w:val="24"/>
        <w:spacing w:after="90" w:line="283" w:lineRule="auto"/>
        <w:ind w:hanging="173"/>
        <w:jc w:val="both"/>
      </w:pPr>
      <w:r>
        <w:rPr>
          <w:sz w:val="22"/>
        </w:rPr>
        <w:t>Drafted pleadings, particulars of claim, pleas, notices, pre-trial minutes, heads of argument, settlement documents and related RAF correspondence.</w:t>
      </w:r>
    </w:p>
    <w:p w14:paraId="025D564E">
      <w:pPr>
        <w:pStyle w:val="24"/>
        <w:spacing w:after="90" w:line="283" w:lineRule="auto"/>
        <w:ind w:hanging="173"/>
        <w:jc w:val="both"/>
      </w:pPr>
      <w:r>
        <w:rPr>
          <w:sz w:val="22"/>
        </w:rPr>
        <w:t>Applied the Road Accident Fund Act, applicable regulations, civil procedure, prescription, evidence and case law to advance or defend claims effectively.</w:t>
      </w:r>
    </w:p>
    <w:p w14:paraId="51C4A70E">
      <w:pPr>
        <w:pStyle w:val="24"/>
        <w:spacing w:after="90" w:line="283" w:lineRule="auto"/>
        <w:ind w:hanging="173"/>
        <w:jc w:val="both"/>
      </w:pPr>
      <w:r>
        <w:rPr>
          <w:sz w:val="22"/>
        </w:rPr>
        <w:t>Negotiated settlements and advised on litigation risk, prospects, quantum, evidentiary gaps and appropriate resolution strategies.</w:t>
      </w:r>
    </w:p>
    <w:p w14:paraId="0049B130">
      <w:pPr>
        <w:pStyle w:val="24"/>
        <w:spacing w:after="90" w:line="283" w:lineRule="auto"/>
        <w:ind w:hanging="173"/>
        <w:jc w:val="both"/>
      </w:pPr>
      <w:r>
        <w:rPr>
          <w:sz w:val="22"/>
        </w:rPr>
        <w:t>Developed a commercially sensible approach to RAF litigation through experience acting for claimants and for the Fund.</w:t>
      </w:r>
    </w:p>
    <w:p w14:paraId="261F348A">
      <w:pPr>
        <w:keepNext/>
        <w:pBdr>
          <w:bottom w:val="single" w:color="D9EAF7" w:sz="6" w:space="4"/>
        </w:pBdr>
        <w:spacing w:before="160" w:after="80" w:line="283" w:lineRule="auto"/>
      </w:pPr>
      <w:r>
        <w:rPr>
          <w:b/>
          <w:color w:val="1F4E79"/>
          <w:sz w:val="25"/>
        </w:rPr>
        <w:t>Alternative Dispute Resolution | IMSSA, AMSSA, Tokiso and related panels</w:t>
      </w:r>
    </w:p>
    <w:p w14:paraId="162F4B28">
      <w:pPr>
        <w:pStyle w:val="24"/>
        <w:spacing w:after="90" w:line="283" w:lineRule="auto"/>
        <w:ind w:hanging="173"/>
        <w:jc w:val="both"/>
      </w:pPr>
      <w:r>
        <w:rPr>
          <w:sz w:val="22"/>
        </w:rPr>
        <w:t>Completed the IMSSA Arbitrators Course in 1996 and has conducted arbitrations since that time.</w:t>
      </w:r>
    </w:p>
    <w:p w14:paraId="2F630829">
      <w:pPr>
        <w:pStyle w:val="24"/>
        <w:spacing w:after="90" w:line="283" w:lineRule="auto"/>
        <w:ind w:hanging="173"/>
        <w:jc w:val="both"/>
      </w:pPr>
      <w:r>
        <w:rPr>
          <w:sz w:val="22"/>
        </w:rPr>
        <w:t>Completed the IMSSA Mediators Course in 1998 and a trainer course through IMSSA.</w:t>
      </w:r>
    </w:p>
    <w:p w14:paraId="053CE371">
      <w:pPr>
        <w:pStyle w:val="24"/>
        <w:spacing w:after="90" w:line="283" w:lineRule="auto"/>
        <w:ind w:hanging="173"/>
        <w:jc w:val="both"/>
      </w:pPr>
      <w:r>
        <w:rPr>
          <w:sz w:val="22"/>
        </w:rPr>
        <w:t>Served on the panel of the Independent Mediation Services of South Africa and later on the dispute resolution panels of AMSSA and Tokiso.</w:t>
      </w:r>
    </w:p>
    <w:p w14:paraId="0BEE11AA">
      <w:pPr>
        <w:pStyle w:val="24"/>
        <w:spacing w:after="90" w:line="283" w:lineRule="auto"/>
        <w:ind w:hanging="173"/>
        <w:jc w:val="both"/>
      </w:pPr>
      <w:r>
        <w:rPr>
          <w:sz w:val="22"/>
        </w:rPr>
        <w:t>Conducted arbitrations, mediations, conciliations and commissions of enquiry across labour, commercial, housing, construction and community related disputes.</w:t>
      </w:r>
    </w:p>
    <w:p w14:paraId="47284F4B">
      <w:pPr>
        <w:pStyle w:val="24"/>
        <w:spacing w:after="90" w:line="283" w:lineRule="auto"/>
        <w:ind w:hanging="173"/>
        <w:jc w:val="both"/>
      </w:pPr>
      <w:r>
        <w:rPr>
          <w:sz w:val="22"/>
        </w:rPr>
        <w:t>Completed the Relationship Building by Objectives course through AMSSA.</w:t>
      </w:r>
    </w:p>
    <w:p w14:paraId="7076D459">
      <w:pPr>
        <w:pStyle w:val="24"/>
        <w:spacing w:after="90" w:line="283" w:lineRule="auto"/>
        <w:ind w:hanging="173"/>
        <w:jc w:val="both"/>
      </w:pPr>
      <w:r>
        <w:rPr>
          <w:sz w:val="22"/>
        </w:rPr>
        <w:t>Served as adjudicator on Bargaining Council dispute resolution panels and on the Compensation Fund panel for COIDA related matters.</w:t>
      </w:r>
    </w:p>
    <w:p w14:paraId="19BD4DF3">
      <w:pPr>
        <w:pStyle w:val="24"/>
        <w:spacing w:after="90" w:line="283" w:lineRule="auto"/>
        <w:ind w:hanging="173"/>
        <w:jc w:val="both"/>
      </w:pPr>
      <w:r>
        <w:rPr>
          <w:sz w:val="22"/>
        </w:rPr>
        <w:t>Completed an advanced arbitration course with the Association of Arbitrators, including international and construction arbitration components.</w:t>
      </w:r>
    </w:p>
    <w:p w14:paraId="0E64213F">
      <w:pPr>
        <w:pStyle w:val="24"/>
        <w:spacing w:after="90" w:line="283" w:lineRule="auto"/>
        <w:ind w:hanging="173"/>
        <w:jc w:val="both"/>
      </w:pPr>
      <w:r>
        <w:rPr>
          <w:sz w:val="22"/>
        </w:rPr>
        <w:t>Conducted construction related arbitrations as a Master Builders Association panelist.</w:t>
      </w:r>
    </w:p>
    <w:p w14:paraId="325C29AE">
      <w:pPr>
        <w:keepNext/>
        <w:pBdr>
          <w:bottom w:val="single" w:color="D9EAF7" w:sz="6" w:space="4"/>
        </w:pBdr>
        <w:spacing w:before="160" w:after="80" w:line="283" w:lineRule="auto"/>
      </w:pPr>
      <w:r>
        <w:rPr>
          <w:b/>
          <w:color w:val="1F4E79"/>
          <w:sz w:val="25"/>
        </w:rPr>
        <w:t>Housing, Land, Rental Housing and Community Scheme Disputes</w:t>
      </w:r>
    </w:p>
    <w:p w14:paraId="14B7D01B">
      <w:pPr>
        <w:pStyle w:val="24"/>
        <w:spacing w:after="90" w:line="283" w:lineRule="auto"/>
        <w:ind w:hanging="173"/>
        <w:jc w:val="both"/>
      </w:pPr>
      <w:r>
        <w:rPr>
          <w:sz w:val="22"/>
        </w:rPr>
        <w:t>Previously appointed as an adjudicator on the Housing Transfer Bureau Appeal Panel, serving in a dual mediator, facilitator and arbitrator role under the Conversion Act and related RETRO process.</w:t>
      </w:r>
    </w:p>
    <w:p w14:paraId="6AB751C1">
      <w:pPr>
        <w:pStyle w:val="24"/>
        <w:spacing w:after="90" w:line="283" w:lineRule="auto"/>
        <w:ind w:hanging="173"/>
        <w:jc w:val="both"/>
      </w:pPr>
      <w:r>
        <w:rPr>
          <w:sz w:val="22"/>
        </w:rPr>
        <w:t>Resolved housing disputes affecting various communities through mediation, facilitation, adjudication and formal rulings.</w:t>
      </w:r>
    </w:p>
    <w:p w14:paraId="15C850ED">
      <w:pPr>
        <w:pStyle w:val="24"/>
        <w:spacing w:after="90" w:line="283" w:lineRule="auto"/>
        <w:ind w:hanging="173"/>
        <w:jc w:val="both"/>
      </w:pPr>
      <w:r>
        <w:rPr>
          <w:sz w:val="22"/>
        </w:rPr>
        <w:t>Served as an alternate member of the Rental Housing Tribunal until October 2016, dealing with landlord and tenant disputes under the Rental Housing Act, and delivered numerous rulings relating to rental housing disputes.</w:t>
      </w:r>
    </w:p>
    <w:p w14:paraId="40D55895">
      <w:pPr>
        <w:pStyle w:val="24"/>
        <w:spacing w:after="90" w:line="283" w:lineRule="auto"/>
        <w:ind w:hanging="173"/>
        <w:jc w:val="both"/>
      </w:pPr>
      <w:r>
        <w:rPr>
          <w:sz w:val="22"/>
        </w:rPr>
        <w:t>Served as mediator at the Rental Housing Tribunal, having completed the certified training course.</w:t>
      </w:r>
    </w:p>
    <w:p w14:paraId="53B426B7">
      <w:pPr>
        <w:pStyle w:val="24"/>
        <w:spacing w:after="90" w:line="283" w:lineRule="auto"/>
        <w:ind w:hanging="173"/>
        <w:jc w:val="both"/>
      </w:pPr>
      <w:r>
        <w:rPr>
          <w:sz w:val="22"/>
        </w:rPr>
        <w:t>Previously appointed to serve as mediator and adjudicator on the Community Schemes Ombud Service panel for disputes involving owners, management bodies and interested parties.</w:t>
      </w:r>
    </w:p>
    <w:p w14:paraId="413E2B79">
      <w:pPr>
        <w:keepNext/>
        <w:pBdr>
          <w:bottom w:val="single" w:color="D9EAF7" w:sz="6" w:space="4"/>
        </w:pBdr>
        <w:spacing w:before="160" w:after="80" w:line="283" w:lineRule="auto"/>
      </w:pPr>
      <w:r>
        <w:rPr>
          <w:b/>
          <w:color w:val="1F4E79"/>
          <w:sz w:val="25"/>
        </w:rPr>
        <w:t>Property, Construction, Development and Valuation Experience</w:t>
      </w:r>
    </w:p>
    <w:p w14:paraId="09169781">
      <w:pPr>
        <w:pStyle w:val="24"/>
        <w:spacing w:after="90" w:line="283" w:lineRule="auto"/>
        <w:ind w:hanging="173"/>
        <w:jc w:val="both"/>
      </w:pPr>
      <w:r>
        <w:rPr>
          <w:sz w:val="22"/>
        </w:rPr>
        <w:t>Holds a Master of Science in Building in the field of Housing from the University of the Witwatersrand, with focus on social housing policy, security of tenure and informal settlement intervention policy.</w:t>
      </w:r>
    </w:p>
    <w:p w14:paraId="32D6E34D">
      <w:pPr>
        <w:pStyle w:val="24"/>
        <w:spacing w:after="90" w:line="283" w:lineRule="auto"/>
        <w:ind w:hanging="173"/>
        <w:jc w:val="both"/>
        <w:rPr>
          <w:sz w:val="22"/>
        </w:rPr>
      </w:pPr>
      <w:r>
        <w:rPr>
          <w:sz w:val="22"/>
        </w:rPr>
        <w:t>My MSc dissertation examined intervention policies in informal settlements, including comparative experiences from the Philippines and Brazil, and I undertook a study tour to Brazil to inform the South African context.</w:t>
      </w:r>
    </w:p>
    <w:p w14:paraId="42BEDB79">
      <w:pPr>
        <w:pStyle w:val="24"/>
        <w:spacing w:after="90" w:line="283" w:lineRule="auto"/>
        <w:ind w:hanging="173"/>
        <w:jc w:val="both"/>
      </w:pPr>
      <w:r>
        <w:rPr>
          <w:sz w:val="22"/>
        </w:rPr>
        <w:t>Lectured at the University of Johannesburg in the Department of Real Estate on Law on Property Practice, Principles of Property Law and Property Marketing.</w:t>
      </w:r>
    </w:p>
    <w:p w14:paraId="2EF67FDC">
      <w:pPr>
        <w:pStyle w:val="24"/>
        <w:spacing w:after="90" w:line="283" w:lineRule="auto"/>
        <w:ind w:hanging="173"/>
        <w:jc w:val="both"/>
      </w:pPr>
      <w:r>
        <w:rPr>
          <w:sz w:val="22"/>
        </w:rPr>
        <w:t>Covered legislation including the Physical Planning Act, Environment Conservation Act, Subdivision of Agricultural Land Act, Less Formal Townships Establishment Act, Prevention of Illegal Eviction Act, Sectional Titles Act and Rental Housing Act.</w:t>
      </w:r>
    </w:p>
    <w:p w14:paraId="4193D8AA">
      <w:pPr>
        <w:pStyle w:val="24"/>
        <w:spacing w:after="90" w:line="283" w:lineRule="auto"/>
        <w:ind w:hanging="173"/>
        <w:jc w:val="both"/>
      </w:pPr>
      <w:r>
        <w:rPr>
          <w:sz w:val="22"/>
        </w:rPr>
        <w:t>Appointed as Chairperson of Valuation Boards for the Gauteng Department of Development Planning and Local Government, ruling on objections by ratepayers to immovable property valuations.</w:t>
      </w:r>
    </w:p>
    <w:p w14:paraId="5FEBBF02">
      <w:pPr>
        <w:pStyle w:val="24"/>
        <w:spacing w:after="90" w:line="283" w:lineRule="auto"/>
        <w:ind w:hanging="173"/>
        <w:jc w:val="both"/>
      </w:pPr>
      <w:r>
        <w:rPr>
          <w:sz w:val="22"/>
        </w:rPr>
        <w:t>Served as Deputy Chairperson of the Development Appeal Tribunal, which decided applications for land development.</w:t>
      </w:r>
    </w:p>
    <w:p w14:paraId="720B93FA">
      <w:pPr>
        <w:pStyle w:val="24"/>
        <w:spacing w:after="90" w:line="283" w:lineRule="auto"/>
        <w:ind w:hanging="173"/>
        <w:jc w:val="both"/>
      </w:pPr>
      <w:r>
        <w:rPr>
          <w:sz w:val="22"/>
        </w:rPr>
        <w:t>Served as Panelist on the Gauteng Master Builders Association panel for construction related disputes.</w:t>
      </w:r>
    </w:p>
    <w:p w14:paraId="4138DF5F">
      <w:pPr>
        <w:keepNext/>
        <w:pBdr>
          <w:bottom w:val="single" w:color="D9E2EC" w:sz="8" w:space="3"/>
        </w:pBdr>
        <w:shd w:val="clear" w:color="auto" w:fill="2F75B5"/>
        <w:spacing w:before="200" w:after="120" w:line="283" w:lineRule="auto"/>
      </w:pPr>
      <w:r>
        <w:rPr>
          <w:b/>
          <w:color w:val="FFFFFF"/>
          <w:sz w:val="27"/>
        </w:rPr>
        <w:t>SELECTED APPOINTMENTS, PANELS AND DISTINCTIONS</w:t>
      </w:r>
    </w:p>
    <w:p w14:paraId="3DDE1B99">
      <w:pPr>
        <w:pStyle w:val="24"/>
        <w:spacing w:after="90" w:line="283" w:lineRule="auto"/>
        <w:ind w:hanging="173"/>
        <w:jc w:val="both"/>
      </w:pPr>
      <w:r>
        <w:rPr>
          <w:sz w:val="22"/>
        </w:rPr>
        <w:t>Advocate of the High Court of South Africa.</w:t>
      </w:r>
    </w:p>
    <w:p w14:paraId="0CD59F7E">
      <w:pPr>
        <w:pStyle w:val="24"/>
        <w:spacing w:after="90" w:line="283" w:lineRule="auto"/>
        <w:ind w:hanging="173"/>
        <w:jc w:val="both"/>
      </w:pPr>
      <w:r>
        <w:rPr>
          <w:sz w:val="22"/>
        </w:rPr>
        <w:t>Experienced arbitrator and mediator with numerous arbitrations, mediations, conciliations and enquiries conducted over a long professional career.</w:t>
      </w:r>
    </w:p>
    <w:p w14:paraId="7A544F41">
      <w:pPr>
        <w:pStyle w:val="24"/>
        <w:spacing w:after="90" w:line="283" w:lineRule="auto"/>
        <w:ind w:hanging="173"/>
        <w:jc w:val="both"/>
      </w:pPr>
      <w:r>
        <w:rPr>
          <w:sz w:val="22"/>
        </w:rPr>
        <w:t>Awards and judgments published in the Butterworths Law Reports.</w:t>
      </w:r>
    </w:p>
    <w:p w14:paraId="0F717072">
      <w:pPr>
        <w:pStyle w:val="24"/>
        <w:spacing w:after="90" w:line="283" w:lineRule="auto"/>
        <w:ind w:hanging="173"/>
        <w:jc w:val="both"/>
      </w:pPr>
      <w:r>
        <w:rPr>
          <w:sz w:val="22"/>
        </w:rPr>
        <w:t>Former adjudicator on the Housing Transfer Bureau Appeal Panel.</w:t>
      </w:r>
    </w:p>
    <w:p w14:paraId="0DF37466">
      <w:pPr>
        <w:pStyle w:val="24"/>
        <w:spacing w:after="90" w:line="283" w:lineRule="auto"/>
        <w:ind w:hanging="173"/>
        <w:jc w:val="both"/>
      </w:pPr>
      <w:r>
        <w:rPr>
          <w:sz w:val="22"/>
        </w:rPr>
        <w:t>Former alternate member and mediator of the Rental Housing Tribunal.</w:t>
      </w:r>
    </w:p>
    <w:p w14:paraId="4FC51C42">
      <w:pPr>
        <w:pStyle w:val="24"/>
        <w:spacing w:after="90" w:line="283" w:lineRule="auto"/>
        <w:ind w:hanging="173"/>
        <w:jc w:val="both"/>
      </w:pPr>
      <w:r>
        <w:rPr>
          <w:sz w:val="22"/>
        </w:rPr>
        <w:t>Former mediator and adjudicator on the Community Schemes Ombud Service panel.</w:t>
      </w:r>
    </w:p>
    <w:p w14:paraId="57D9FA73">
      <w:pPr>
        <w:pStyle w:val="24"/>
        <w:spacing w:after="90" w:line="283" w:lineRule="auto"/>
        <w:ind w:hanging="173"/>
        <w:jc w:val="both"/>
      </w:pPr>
      <w:r>
        <w:rPr>
          <w:sz w:val="22"/>
        </w:rPr>
        <w:t>Former Chairperson of Valuation Boards for the Gauteng Department of Development Planning and Local Government.</w:t>
      </w:r>
    </w:p>
    <w:p w14:paraId="6069EBE3">
      <w:pPr>
        <w:pStyle w:val="24"/>
        <w:spacing w:after="90" w:line="283" w:lineRule="auto"/>
        <w:ind w:hanging="173"/>
        <w:jc w:val="both"/>
      </w:pPr>
      <w:r>
        <w:rPr>
          <w:sz w:val="22"/>
        </w:rPr>
        <w:t>Former Deputy Chairperson of the Development Appeal Tribunal.</w:t>
      </w:r>
    </w:p>
    <w:p w14:paraId="5A8B42B3">
      <w:pPr>
        <w:pStyle w:val="24"/>
        <w:spacing w:after="90" w:line="283" w:lineRule="auto"/>
        <w:ind w:hanging="173"/>
        <w:jc w:val="both"/>
      </w:pPr>
      <w:r>
        <w:rPr>
          <w:sz w:val="22"/>
        </w:rPr>
        <w:t>Current board member of SANCA Nishtara Recovery and Wellness Centre.</w:t>
      </w:r>
    </w:p>
    <w:p w14:paraId="48541A47">
      <w:pPr>
        <w:pStyle w:val="24"/>
        <w:spacing w:after="90" w:line="283" w:lineRule="auto"/>
        <w:ind w:hanging="173"/>
        <w:jc w:val="both"/>
      </w:pPr>
      <w:r>
        <w:rPr>
          <w:sz w:val="22"/>
        </w:rPr>
        <w:t>Recently appointed Chairperson of the of the Appeal Committee of the Council for Built Environment (CBE).</w:t>
      </w:r>
    </w:p>
    <w:p w14:paraId="7CD8375D">
      <w:pPr>
        <w:pStyle w:val="24"/>
        <w:spacing w:after="90" w:line="283" w:lineRule="auto"/>
        <w:ind w:hanging="173"/>
        <w:jc w:val="both"/>
      </w:pPr>
      <w:r>
        <w:rPr>
          <w:sz w:val="22"/>
        </w:rPr>
        <w:t>Currently still a member of the TOKISO panel for commercial, labour and housing and property related matters</w:t>
      </w:r>
      <w:r>
        <w:rPr>
          <w:rFonts w:hint="default"/>
          <w:sz w:val="22"/>
          <w:lang w:val="en-ZA"/>
        </w:rPr>
        <w:t>, and most importantly certified for Rule 41A Mediations</w:t>
      </w:r>
      <w:r>
        <w:rPr>
          <w:sz w:val="22"/>
        </w:rPr>
        <w:t>.</w:t>
      </w:r>
    </w:p>
    <w:p w14:paraId="2B8AA1B3">
      <w:pPr>
        <w:keepNext/>
        <w:pBdr>
          <w:bottom w:val="single" w:color="D9E2EC" w:sz="8" w:space="3"/>
        </w:pBdr>
        <w:shd w:val="clear" w:color="auto" w:fill="2F75B5"/>
        <w:spacing w:before="200" w:after="120" w:line="283" w:lineRule="auto"/>
      </w:pPr>
      <w:r>
        <w:rPr>
          <w:b/>
          <w:color w:val="FFFFFF"/>
          <w:sz w:val="27"/>
        </w:rPr>
        <w:t>EDUCATION AND PROFESSIONAL DEVELOPMENT</w:t>
      </w:r>
    </w:p>
    <w:p w14:paraId="006A0D3F">
      <w:pPr>
        <w:pBdr>
          <w:bottom w:val="single" w:color="D9EAF7" w:sz="6" w:space="4"/>
        </w:pBdr>
        <w:spacing w:before="160" w:after="80"/>
      </w:pPr>
      <w:r>
        <w:rPr>
          <w:b/>
          <w:color w:val="1F4E79"/>
          <w:sz w:val="25"/>
        </w:rPr>
        <w:t>Master of Science in Building (Housing): University of the Witwatersrand | 2003 to 2005</w:t>
      </w:r>
    </w:p>
    <w:p w14:paraId="7F8AECB8">
      <w:pPr>
        <w:pBdr>
          <w:bottom w:val="single" w:color="D9EAF7" w:sz="6" w:space="4"/>
        </w:pBdr>
        <w:spacing w:before="160" w:after="80"/>
      </w:pPr>
      <w:r>
        <w:rPr>
          <w:b/>
          <w:color w:val="1F4E79"/>
          <w:sz w:val="25"/>
        </w:rPr>
        <w:t>Bachelor of Laws (LLB): University of the Witwatersrand | 1985 to 1987</w:t>
      </w:r>
    </w:p>
    <w:p w14:paraId="0FA84FF3">
      <w:pPr>
        <w:pBdr>
          <w:bottom w:val="single" w:color="D9EAF7" w:sz="6" w:space="4"/>
        </w:pBdr>
        <w:spacing w:before="160" w:after="80"/>
      </w:pPr>
      <w:r>
        <w:rPr>
          <w:b/>
          <w:color w:val="1F4E79"/>
          <w:sz w:val="25"/>
        </w:rPr>
        <w:t>BA (Law): University of Durban Westville | 1982 to 1984</w:t>
      </w:r>
    </w:p>
    <w:p w14:paraId="470FDDF1">
      <w:pPr>
        <w:pBdr>
          <w:bottom w:val="single" w:color="D9EAF7" w:sz="6" w:space="4"/>
        </w:pBdr>
        <w:spacing w:before="160" w:after="80"/>
      </w:pPr>
      <w:r>
        <w:rPr>
          <w:b/>
          <w:color w:val="1F4E79"/>
          <w:sz w:val="25"/>
        </w:rPr>
        <w:t>National Senior Certificate: Lenasia High School | 1976 to 1981</w:t>
      </w:r>
    </w:p>
    <w:p w14:paraId="46C23706">
      <w:pPr>
        <w:pStyle w:val="24"/>
        <w:spacing w:after="90"/>
        <w:ind w:hanging="173"/>
      </w:pPr>
      <w:r>
        <w:rPr>
          <w:sz w:val="22"/>
        </w:rPr>
        <w:t>IMSSA Arbitrators Course, 1996.</w:t>
      </w:r>
    </w:p>
    <w:p w14:paraId="23C5BE2B">
      <w:pPr>
        <w:pStyle w:val="24"/>
        <w:spacing w:after="90"/>
        <w:ind w:hanging="173"/>
      </w:pPr>
      <w:r>
        <w:rPr>
          <w:sz w:val="22"/>
        </w:rPr>
        <w:t>IMSSA Mediators Course, 1998.</w:t>
      </w:r>
    </w:p>
    <w:p w14:paraId="741D3B0E">
      <w:pPr>
        <w:pStyle w:val="24"/>
        <w:spacing w:after="90"/>
        <w:ind w:hanging="173"/>
      </w:pPr>
      <w:r>
        <w:rPr>
          <w:sz w:val="22"/>
        </w:rPr>
        <w:t>IMSSA trainer course.</w:t>
      </w:r>
    </w:p>
    <w:p w14:paraId="206F7436">
      <w:pPr>
        <w:pStyle w:val="24"/>
        <w:spacing w:after="90"/>
        <w:ind w:hanging="173"/>
      </w:pPr>
      <w:r>
        <w:rPr>
          <w:sz w:val="22"/>
        </w:rPr>
        <w:t>Relationship Building by Objectives course through AMSSA.</w:t>
      </w:r>
    </w:p>
    <w:p w14:paraId="6EC9F349">
      <w:pPr>
        <w:pStyle w:val="24"/>
        <w:spacing w:after="90" w:line="283" w:lineRule="auto"/>
        <w:ind w:hanging="173"/>
      </w:pPr>
      <w:r>
        <w:rPr>
          <w:sz w:val="22"/>
        </w:rPr>
        <w:t>Advanced Arbitration Course through the Association of Arbitrators.</w:t>
      </w:r>
    </w:p>
    <w:p w14:paraId="54873626">
      <w:pPr>
        <w:keepNext/>
        <w:pBdr>
          <w:bottom w:val="single" w:color="D9E2EC" w:sz="8" w:space="3"/>
        </w:pBdr>
        <w:shd w:val="clear" w:color="auto" w:fill="2F75B5"/>
        <w:spacing w:before="200" w:after="120" w:line="283" w:lineRule="auto"/>
      </w:pPr>
      <w:r>
        <w:rPr>
          <w:b/>
          <w:color w:val="FFFFFF"/>
          <w:sz w:val="27"/>
        </w:rPr>
        <w:t>REFERENCES</w:t>
      </w: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71"/>
        <w:gridCol w:w="5313"/>
      </w:tblGrid>
      <w:tr w14:paraId="511F1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5383" w:type="dxa"/>
            <w:tcBorders>
              <w:top w:val="single" w:color="B8CCE4" w:sz="6" w:space="0"/>
              <w:left w:val="single" w:color="B8CCE4" w:sz="6" w:space="0"/>
              <w:bottom w:val="single" w:color="B8CCE4" w:sz="6" w:space="0"/>
              <w:right w:val="single" w:color="B8CCE4" w:sz="6" w:space="0"/>
            </w:tcBorders>
            <w:shd w:val="clear" w:color="auto" w:fill="F3F8FC"/>
            <w:vAlign w:val="center"/>
          </w:tcPr>
          <w:p w14:paraId="623528BE">
            <w:pPr>
              <w:spacing w:after="60"/>
            </w:pPr>
            <w:r>
              <w:rPr>
                <w:color w:val="000000" w:themeColor="text1"/>
                <w14:shadow w14:blurRad="38100" w14:dist="19050" w14:dir="2700000" w14:sx="100000" w14:sy="100000" w14:kx="0" w14:ky="0" w14:algn="tl">
                  <w14:schemeClr w14:val="dk1">
                    <w14:alpha w14:val="60000"/>
                  </w14:schemeClr>
                </w14:shadow>
                <w14:textFill>
                  <w14:solidFill>
                    <w14:schemeClr w14:val="tx1"/>
                  </w14:solidFill>
                </w14:textFill>
              </w:rPr>
              <w:t>Advocate Shafie Ameermia</w:t>
            </w:r>
          </w:p>
        </w:tc>
        <w:tc>
          <w:tcPr>
            <w:tcW w:w="5383" w:type="dxa"/>
            <w:tcBorders>
              <w:top w:val="single" w:color="B8CCE4" w:sz="6" w:space="0"/>
              <w:left w:val="single" w:color="B8CCE4" w:sz="6" w:space="0"/>
              <w:bottom w:val="single" w:color="B8CCE4" w:sz="6" w:space="0"/>
              <w:right w:val="single" w:color="B8CCE4" w:sz="6" w:space="0"/>
            </w:tcBorders>
            <w:shd w:val="clear" w:color="auto" w:fill="F3F8FC"/>
            <w:vAlign w:val="center"/>
          </w:tcPr>
          <w:p w14:paraId="454B57C8">
            <w:pPr>
              <w:spacing w:after="60"/>
            </w:pPr>
            <w:r>
              <w:t>Advocate – National Director Pro Bono office | 078 458 4211 | shafie@probono.org.za</w:t>
            </w:r>
          </w:p>
          <w:p w14:paraId="2C68F22B">
            <w:pPr>
              <w:spacing w:after="60"/>
            </w:pPr>
          </w:p>
        </w:tc>
      </w:tr>
      <w:tr w14:paraId="2183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383" w:type="dxa"/>
            <w:tcBorders>
              <w:top w:val="single" w:color="B8CCE4" w:sz="6" w:space="0"/>
              <w:left w:val="single" w:color="B8CCE4" w:sz="6" w:space="0"/>
              <w:bottom w:val="single" w:color="B8CCE4" w:sz="6" w:space="0"/>
              <w:right w:val="single" w:color="B8CCE4" w:sz="6" w:space="0"/>
            </w:tcBorders>
            <w:shd w:val="clear" w:color="auto" w:fill="FFFFFF"/>
            <w:vAlign w:val="center"/>
          </w:tcPr>
          <w:p w14:paraId="312B3164">
            <w:pPr>
              <w:spacing w:after="60"/>
            </w:pPr>
            <w:r>
              <w:rPr>
                <w:color w:val="000000" w:themeColor="text1"/>
                <w14:shadow w14:blurRad="38100" w14:dist="19050" w14:dir="2700000" w14:sx="100000" w14:sy="100000" w14:kx="0" w14:ky="0" w14:algn="tl">
                  <w14:schemeClr w14:val="dk1">
                    <w14:alpha w14:val="60000"/>
                  </w14:schemeClr>
                </w14:shadow>
                <w14:textFill>
                  <w14:solidFill>
                    <w14:schemeClr w14:val="tx1"/>
                  </w14:solidFill>
                </w14:textFill>
              </w:rPr>
              <w:t>Advocate M. Delima Jorge</w:t>
            </w:r>
          </w:p>
        </w:tc>
        <w:tc>
          <w:tcPr>
            <w:tcW w:w="5383" w:type="dxa"/>
            <w:tcBorders>
              <w:top w:val="single" w:color="B8CCE4" w:sz="6" w:space="0"/>
              <w:left w:val="single" w:color="B8CCE4" w:sz="6" w:space="0"/>
              <w:bottom w:val="single" w:color="B8CCE4" w:sz="6" w:space="0"/>
              <w:right w:val="single" w:color="B8CCE4" w:sz="6" w:space="0"/>
            </w:tcBorders>
            <w:shd w:val="clear" w:color="auto" w:fill="FFFFFF"/>
            <w:vAlign w:val="center"/>
          </w:tcPr>
          <w:p w14:paraId="611298FA">
            <w:pPr>
              <w:spacing w:after="60"/>
            </w:pPr>
            <w:r>
              <w:t>Advocate of the High Court | 084 578 6663 | m.delimajorge@gmail.com</w:t>
            </w:r>
          </w:p>
        </w:tc>
      </w:tr>
    </w:tbl>
    <w:p w14:paraId="4E9A2781">
      <w:pPr>
        <w:rPr>
          <w:b/>
          <w:color w:val="8064A2" w:themeColor="accent4"/>
          <w14:textFill>
            <w14:solidFill>
              <w14:schemeClr w14:val="accent4"/>
            </w14:solidFill>
          </w14:textFill>
          <w14:props3d w14:extrusionH="57150" w14:contourW="0" w14:prstMaterial="softEdge">
            <w14:bevelT w14:w="25400" w14:h="38100"/>
          </w14:props3d>
        </w:rPr>
      </w:pPr>
      <w:bookmarkStart w:id="0" w:name="_GoBack"/>
      <w:bookmarkEnd w:id="0"/>
    </w:p>
    <w:sectPr>
      <w:headerReference r:id="rId5" w:type="default"/>
      <w:footerReference r:id="rId6" w:type="default"/>
      <w:pgSz w:w="12240" w:h="15840"/>
      <w:pgMar w:top="792" w:right="936" w:bottom="792" w:left="936" w:header="720" w:footer="720" w:gutter="0"/>
      <w:pgBorders w:offsetFrom="page">
        <w:top w:val="single" w:color="2F75B5" w:sz="16" w:space="18"/>
        <w:left w:val="single" w:color="2F75B5" w:sz="16" w:space="18"/>
        <w:bottom w:val="single" w:color="2F75B5" w:sz="16" w:space="18"/>
        <w:right w:val="single" w:color="2F75B5" w:sz="16" w:space="18"/>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Aptos">
    <w:altName w:val="Calibri"/>
    <w:panose1 w:val="00000000000000000000"/>
    <w:charset w:val="00"/>
    <w:family w:val="swiss"/>
    <w:pitch w:val="default"/>
    <w:sig w:usb0="00000000" w:usb1="00000000" w:usb2="00000000" w:usb3="00000000" w:csb0="0000019F"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0F76B">
    <w:pPr>
      <w:pStyle w:val="18"/>
      <w:jc w:val="center"/>
    </w:pPr>
    <w:r>
      <w:rPr>
        <w:color w:val="666666"/>
        <w:sz w:val="18"/>
      </w:rPr>
      <w:t>Advocate Mohamed Iqbal Ebrahim Ismail | Curriculum Vitae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3347133"/>
      <w:docPartObj>
        <w:docPartGallery w:val="AutoText"/>
      </w:docPartObj>
    </w:sdtPr>
    <w:sdtContent>
      <w:p w14:paraId="5E9F5F3B">
        <w:pPr>
          <w:pStyle w:val="19"/>
          <w:jc w:val="center"/>
        </w:pPr>
        <w:r>
          <w:fldChar w:fldCharType="begin"/>
        </w:r>
        <w:r>
          <w:instrText xml:space="preserve"> PAGE   \* MERGEFORMAT </w:instrText>
        </w:r>
        <w:r>
          <w:fldChar w:fldCharType="separate"/>
        </w:r>
        <w:r>
          <w:t>2</w:t>
        </w:r>
        <w:r>
          <w:fldChar w:fldCharType="end"/>
        </w:r>
      </w:p>
    </w:sdtContent>
  </w:sdt>
  <w:p w14:paraId="67EC4019">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E7117"/>
    <w:rsid w:val="0015074B"/>
    <w:rsid w:val="00230274"/>
    <w:rsid w:val="0029639D"/>
    <w:rsid w:val="002A28E2"/>
    <w:rsid w:val="002B0F5B"/>
    <w:rsid w:val="00326F90"/>
    <w:rsid w:val="0044470D"/>
    <w:rsid w:val="0046756D"/>
    <w:rsid w:val="00475187"/>
    <w:rsid w:val="004D09B7"/>
    <w:rsid w:val="005F6289"/>
    <w:rsid w:val="006B1932"/>
    <w:rsid w:val="006F3A3E"/>
    <w:rsid w:val="00771851"/>
    <w:rsid w:val="00886782"/>
    <w:rsid w:val="008D140D"/>
    <w:rsid w:val="00910002"/>
    <w:rsid w:val="009E3960"/>
    <w:rsid w:val="00AA1D8D"/>
    <w:rsid w:val="00B17540"/>
    <w:rsid w:val="00B2154A"/>
    <w:rsid w:val="00B47730"/>
    <w:rsid w:val="00C45406"/>
    <w:rsid w:val="00C71E19"/>
    <w:rsid w:val="00CB0664"/>
    <w:rsid w:val="00CE6F33"/>
    <w:rsid w:val="00D10AC4"/>
    <w:rsid w:val="00E07474"/>
    <w:rsid w:val="00FC693F"/>
    <w:rsid w:val="00FE2674"/>
    <w:rsid w:val="321A15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50" w:line="240" w:lineRule="auto"/>
    </w:pPr>
    <w:rPr>
      <w:rFonts w:ascii="Aptos" w:hAnsi="Aptos" w:eastAsia="Aptos" w:cstheme="minorBidi"/>
      <w:color w:val="1F1F1F"/>
      <w:sz w:val="23"/>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1F4E79"/>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1F4E79"/>
      <w:sz w:val="26"/>
      <w:szCs w:val="26"/>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qFormat/>
    <w:uiPriority w:val="99"/>
    <w:pPr>
      <w:tabs>
        <w:tab w:val="center" w:pos="4680"/>
        <w:tab w:val="right" w:pos="9360"/>
      </w:tabs>
      <w:spacing w:after="0"/>
    </w:pPr>
  </w:style>
  <w:style w:type="paragraph" w:styleId="19">
    <w:name w:val="header"/>
    <w:basedOn w:val="1"/>
    <w:link w:val="136"/>
    <w:unhideWhenUsed/>
    <w:qFormat/>
    <w:uiPriority w:val="99"/>
    <w:pPr>
      <w:tabs>
        <w:tab w:val="center" w:pos="4680"/>
        <w:tab w:val="right" w:pos="9360"/>
      </w:tabs>
      <w:spacing w:after="0"/>
    </w:pPr>
  </w:style>
  <w:style w:type="character" w:styleId="20">
    <w:name w:val="Hyperlink"/>
    <w:basedOn w:val="11"/>
    <w:unhideWhenUsed/>
    <w:uiPriority w:val="99"/>
    <w:rPr>
      <w:color w:val="0000FF" w:themeColor="hyperlink"/>
      <w:u w:val="single"/>
      <w14:textFill>
        <w14:solidFill>
          <w14:schemeClr w14:val="hlink"/>
        </w14:solidFill>
      </w14:textFill>
    </w:rPr>
  </w:style>
  <w:style w:type="paragraph" w:styleId="21">
    <w:name w:val="List"/>
    <w:basedOn w:val="1"/>
    <w:unhideWhenUsed/>
    <w:uiPriority w:val="99"/>
    <w:pPr>
      <w:ind w:left="360" w:hanging="360"/>
      <w:contextualSpacing/>
    </w:pPr>
  </w:style>
  <w:style w:type="paragraph" w:styleId="22">
    <w:name w:val="List 2"/>
    <w:basedOn w:val="1"/>
    <w:unhideWhenUsed/>
    <w:uiPriority w:val="99"/>
    <w:pPr>
      <w:ind w:left="720" w:hanging="360"/>
      <w:contextualSpacing/>
    </w:pPr>
  </w:style>
  <w:style w:type="paragraph" w:styleId="23">
    <w:name w:val="List 3"/>
    <w:basedOn w:val="1"/>
    <w:unhideWhenUsed/>
    <w:uiPriority w:val="99"/>
    <w:pPr>
      <w:ind w:left="1080" w:hanging="360"/>
      <w:contextualSpacing/>
    </w:pPr>
  </w:style>
  <w:style w:type="paragraph" w:styleId="24">
    <w:name w:val="List Bullet"/>
    <w:basedOn w:val="1"/>
    <w:unhideWhenUsed/>
    <w:uiPriority w:val="99"/>
    <w:pPr>
      <w:numPr>
        <w:ilvl w:val="0"/>
        <w:numId w:val="1"/>
      </w:numPr>
      <w:contextualSpacing/>
    </w:pPr>
  </w:style>
  <w:style w:type="paragraph" w:styleId="25">
    <w:name w:val="List Bullet 2"/>
    <w:basedOn w:val="1"/>
    <w:unhideWhenUsed/>
    <w:uiPriority w:val="99"/>
    <w:pPr>
      <w:numPr>
        <w:ilvl w:val="0"/>
        <w:numId w:val="2"/>
      </w:numPr>
      <w:contextualSpacing/>
    </w:pPr>
  </w:style>
  <w:style w:type="paragraph" w:styleId="26">
    <w:name w:val="List Bullet 3"/>
    <w:basedOn w:val="1"/>
    <w:unhideWhenUsed/>
    <w:qFormat/>
    <w:uiPriority w:val="99"/>
    <w:pPr>
      <w:numPr>
        <w:ilvl w:val="0"/>
        <w:numId w:val="3"/>
      </w:numPr>
      <w:contextualSpacing/>
    </w:pPr>
  </w:style>
  <w:style w:type="paragraph" w:styleId="27">
    <w:name w:val="List Continue"/>
    <w:basedOn w:val="1"/>
    <w:unhideWhenUsed/>
    <w:uiPriority w:val="99"/>
    <w:pPr>
      <w:spacing w:after="120"/>
      <w:ind w:left="360"/>
      <w:contextualSpacing/>
    </w:pPr>
  </w:style>
  <w:style w:type="paragraph" w:styleId="28">
    <w:name w:val="List Continue 2"/>
    <w:basedOn w:val="1"/>
    <w:unhideWhenUsed/>
    <w:uiPriority w:val="99"/>
    <w:pPr>
      <w:spacing w:after="120"/>
      <w:ind w:left="720"/>
      <w:contextualSpacing/>
    </w:pPr>
  </w:style>
  <w:style w:type="paragraph" w:styleId="29">
    <w:name w:val="List Continue 3"/>
    <w:basedOn w:val="1"/>
    <w:unhideWhenUsed/>
    <w:uiPriority w:val="99"/>
    <w:pPr>
      <w:spacing w:after="120"/>
      <w:ind w:left="1080"/>
      <w:contextualSpacing/>
    </w:pPr>
  </w:style>
  <w:style w:type="paragraph" w:styleId="30">
    <w:name w:val="List Number"/>
    <w:basedOn w:val="1"/>
    <w:unhideWhenUsed/>
    <w:uiPriority w:val="99"/>
    <w:pPr>
      <w:numPr>
        <w:ilvl w:val="0"/>
        <w:numId w:val="4"/>
      </w:numPr>
      <w:contextualSpacing/>
    </w:pPr>
  </w:style>
  <w:style w:type="paragraph" w:styleId="31">
    <w:name w:val="List Number 2"/>
    <w:basedOn w:val="1"/>
    <w:unhideWhenUsed/>
    <w:uiPriority w:val="99"/>
    <w:pPr>
      <w:numPr>
        <w:ilvl w:val="0"/>
        <w:numId w:val="5"/>
      </w:numPr>
      <w:contextualSpacing/>
    </w:pPr>
  </w:style>
  <w:style w:type="paragraph" w:styleId="32">
    <w:name w:val="List Number 3"/>
    <w:basedOn w:val="1"/>
    <w:unhideWhenUsed/>
    <w:qFormat/>
    <w:uiPriority w:val="99"/>
    <w:pPr>
      <w:numPr>
        <w:ilvl w:val="0"/>
        <w:numId w:val="6"/>
      </w:numPr>
      <w:contextualSpacing/>
    </w:pPr>
  </w:style>
  <w:style w:type="paragraph" w:styleId="33">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contextualSpacing/>
    </w:pPr>
    <w:rPr>
      <w:rFonts w:asciiTheme="majorHAnsi" w:hAnsiTheme="majorHAnsi" w:eastAsiaTheme="majorEastAsia" w:cstheme="majorBidi"/>
      <w:b/>
      <w:color w:val="1F4E79"/>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qFormat/>
    <w:uiPriority w:val="99"/>
  </w:style>
  <w:style w:type="character" w:customStyle="1" w:styleId="137">
    <w:name w:val="Footer Char"/>
    <w:basedOn w:val="11"/>
    <w:link w:val="18"/>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uiPriority w:val="99"/>
  </w:style>
  <w:style w:type="character" w:customStyle="1" w:styleId="146">
    <w:name w:val="Body Text 2 Char"/>
    <w:basedOn w:val="11"/>
    <w:link w:val="14"/>
    <w:uiPriority w:val="99"/>
  </w:style>
  <w:style w:type="character" w:customStyle="1" w:styleId="147">
    <w:name w:val="Body Text 3 Char"/>
    <w:basedOn w:val="11"/>
    <w:link w:val="15"/>
    <w:qFormat/>
    <w:uiPriority w:val="99"/>
    <w:rPr>
      <w:sz w:val="16"/>
      <w:szCs w:val="16"/>
    </w:rPr>
  </w:style>
  <w:style w:type="character" w:customStyle="1" w:styleId="148">
    <w:name w:val="Macro Text Char"/>
    <w:basedOn w:val="11"/>
    <w:link w:val="33"/>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uiPriority w:val="29"/>
    <w:rPr>
      <w:i/>
      <w:iCs/>
      <w:color w:val="000000" w:themeColor="text1"/>
      <w14:textFill>
        <w14:solidFill>
          <w14:schemeClr w14:val="tx1"/>
        </w14:solidFill>
      </w14:textFill>
    </w:rPr>
  </w:style>
  <w:style w:type="character" w:customStyle="1" w:styleId="151">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 w:type="character" w:customStyle="1" w:styleId="165">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4</Pages>
  <Words>1139</Words>
  <Characters>7349</Characters>
  <Lines>60</Lines>
  <Paragraphs>16</Paragraphs>
  <TotalTime>29</TotalTime>
  <ScaleCrop>false</ScaleCrop>
  <LinksUpToDate>false</LinksUpToDate>
  <CharactersWithSpaces>8404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2026-05-07T15:37:00Z</dcterms:created>
  <dc:creator>Iqbal Ismail</dc:creator>
  <cp:lastModifiedBy>Iqbal Ismail</cp:lastModifiedBy>
  <dcterms:modified xsi:type="dcterms:W3CDTF">2026-09-14T19:34:41Z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eyJoZGlkIjoiNWY3NTI5MzIxYzE5ZGYyODE1NjU0MDNkOGUwNjM5MjgiLCJ1c2VySWQiOiIzNzI4NDAwMTY5NjAxIn0=</vt:lpwstr>
  </property>
  <property fmtid="{D5CDD505-2E9C-101B-9397-08002B2CF9AE}" pid="3" name="KSOProductBuildVer">
    <vt:lpwstr>1033-12.1.0.28485</vt:lpwstr>
  </property>
  <property fmtid="{D5CDD505-2E9C-101B-9397-08002B2CF9AE}" pid="4" name="ICV">
    <vt:lpwstr>2F9A9BF68DBC43B1A1977D5EA1397088_12</vt:lpwstr>
  </property>
</Properties>
</file>